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5400"/>
      </w:tblGrid>
      <w:tr w:rsidR="00AC3E60" w:rsidTr="000D4FCF">
        <w:trPr>
          <w:cantSplit/>
          <w:trHeight w:val="360"/>
        </w:trPr>
        <w:tc>
          <w:tcPr>
            <w:tcW w:w="4770" w:type="dxa"/>
          </w:tcPr>
          <w:p w:rsidR="00AC3E60" w:rsidRDefault="00AC3E60">
            <w:pPr>
              <w:pStyle w:val="coBody"/>
              <w:jc w:val="right"/>
              <w:rPr>
                <w:noProof/>
                <w:sz w:val="22"/>
              </w:rPr>
            </w:pPr>
            <w:bookmarkStart w:id="0" w:name="_GoBack"/>
            <w:bookmarkEnd w:id="0"/>
          </w:p>
        </w:tc>
        <w:tc>
          <w:tcPr>
            <w:tcW w:w="5400" w:type="dxa"/>
          </w:tcPr>
          <w:p w:rsidR="000D4FCF" w:rsidRDefault="000D4FCF" w:rsidP="000D4FCF">
            <w:pPr>
              <w:pStyle w:val="coBody"/>
              <w:rPr>
                <w:b/>
                <w:sz w:val="22"/>
              </w:rPr>
            </w:pPr>
            <w:r>
              <w:rPr>
                <w:b/>
                <w:sz w:val="22"/>
              </w:rPr>
              <w:t>10F</w:t>
            </w:r>
            <w:r w:rsidR="00AC3E60">
              <w:rPr>
                <w:b/>
                <w:sz w:val="22"/>
              </w:rPr>
              <w:t xml:space="preserve"> – CED1033</w:t>
            </w:r>
            <w:r>
              <w:rPr>
                <w:b/>
                <w:sz w:val="22"/>
              </w:rPr>
              <w:t xml:space="preserve">                FOOTCARE: ADVANCED</w:t>
            </w:r>
          </w:p>
          <w:p w:rsidR="00AC3E60" w:rsidRDefault="00AC3E60">
            <w:pPr>
              <w:pStyle w:val="coBody"/>
              <w:rPr>
                <w:b/>
                <w:sz w:val="22"/>
              </w:rPr>
            </w:pPr>
          </w:p>
        </w:tc>
      </w:tr>
      <w:tr w:rsidR="00AC3E60" w:rsidTr="000D4FCF">
        <w:trPr>
          <w:cantSplit/>
          <w:trHeight w:val="1367"/>
        </w:trPr>
        <w:tc>
          <w:tcPr>
            <w:tcW w:w="4770" w:type="dxa"/>
          </w:tcPr>
          <w:p w:rsidR="00AC3E60" w:rsidRDefault="00DD2867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107.1pt">
                  <v:imagedata r:id="rId8" o:title="sc-b-w"/>
                </v:shape>
              </w:pict>
            </w:r>
          </w:p>
        </w:tc>
        <w:tc>
          <w:tcPr>
            <w:tcW w:w="5400" w:type="dxa"/>
          </w:tcPr>
          <w:p w:rsidR="00AC3E60" w:rsidRDefault="00AC3E60" w:rsidP="000D4FCF">
            <w:pPr>
              <w:pStyle w:val="coBody"/>
              <w:rPr>
                <w:b/>
                <w:sz w:val="22"/>
              </w:rPr>
            </w:pPr>
          </w:p>
        </w:tc>
      </w:tr>
      <w:tr w:rsidR="000D4FCF" w:rsidTr="000D4FCF">
        <w:trPr>
          <w:cantSplit/>
          <w:trHeight w:val="1215"/>
        </w:trPr>
        <w:tc>
          <w:tcPr>
            <w:tcW w:w="10170" w:type="dxa"/>
            <w:gridSpan w:val="2"/>
          </w:tcPr>
          <w:p w:rsidR="000D4FCF" w:rsidRPr="000D4FCF" w:rsidRDefault="000D4FCF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COURSE HOURS: </w:t>
            </w:r>
            <w:r w:rsidRPr="000D4FCF">
              <w:rPr>
                <w:bCs/>
                <w:sz w:val="22"/>
              </w:rPr>
              <w:t>40</w:t>
            </w:r>
          </w:p>
          <w:p w:rsidR="000D4FCF" w:rsidRDefault="000D4FCF">
            <w:pPr>
              <w:pStyle w:val="coBody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RECOMMENDED </w:t>
            </w:r>
            <w:smartTag w:uri="urn:schemas-microsoft-com:office:smarttags" w:element="stockticker">
              <w:r>
                <w:rPr>
                  <w:b/>
                  <w:bCs/>
                  <w:sz w:val="22"/>
                </w:rPr>
                <w:t>PRE</w:t>
              </w:r>
            </w:smartTag>
            <w:r>
              <w:rPr>
                <w:b/>
                <w:bCs/>
                <w:sz w:val="22"/>
              </w:rPr>
              <w:t xml:space="preserve">-REQUISITE(S): </w:t>
            </w:r>
            <w:r>
              <w:rPr>
                <w:sz w:val="22"/>
              </w:rPr>
              <w:t>RN OR RPN – current CNO Registration and CED1034 – Footcare: Basic</w:t>
            </w:r>
          </w:p>
          <w:p w:rsidR="000D4FCF" w:rsidRPr="000D4FCF" w:rsidRDefault="000D4FCF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CO-REQUISITES: </w:t>
            </w:r>
            <w:r>
              <w:rPr>
                <w:bCs/>
                <w:sz w:val="22"/>
              </w:rPr>
              <w:t>n/a</w:t>
            </w:r>
          </w:p>
          <w:p w:rsidR="000D4FCF" w:rsidRDefault="000D4FCF" w:rsidP="000D4FCF">
            <w:pPr>
              <w:pStyle w:val="coBody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APPROVED FOR USE IN ACADEMIC SEMESTERS: </w:t>
            </w:r>
            <w:r>
              <w:rPr>
                <w:bCs/>
                <w:sz w:val="22"/>
              </w:rPr>
              <w:t>2010/2011</w:t>
            </w:r>
          </w:p>
          <w:p w:rsidR="000D4FCF" w:rsidRDefault="000D4FCF" w:rsidP="004617C6">
            <w:pPr>
              <w:pStyle w:val="coBody"/>
              <w:rPr>
                <w:sz w:val="22"/>
              </w:rPr>
            </w:pPr>
          </w:p>
        </w:tc>
      </w:tr>
    </w:tbl>
    <w:p w:rsidR="00AC3E60" w:rsidRDefault="00AC3E60">
      <w:pPr>
        <w:rPr>
          <w:sz w:val="22"/>
        </w:rPr>
      </w:pPr>
    </w:p>
    <w:p w:rsidR="00AC3E60" w:rsidRDefault="00AC3E60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0D4FCF" w:rsidRPr="000D4FCF" w:rsidRDefault="000D4FCF" w:rsidP="000D4FCF">
      <w:pPr>
        <w:rPr>
          <w:rFonts w:ascii="Calibri" w:hAnsi="Calibri"/>
          <w:i/>
        </w:rPr>
      </w:pPr>
      <w:r w:rsidRPr="000D4FCF">
        <w:rPr>
          <w:rFonts w:ascii="Calibri" w:hAnsi="Calibri"/>
          <w:i/>
        </w:rPr>
        <w:t>RN or RPN, certificate of completion Advanced nursing foot care, current CNO certificate of registration, professional insurance in the amount of $3 million liability/malpractice (obtained through your nursing association).</w:t>
      </w:r>
    </w:p>
    <w:p w:rsidR="000D4FCF" w:rsidRPr="000D4FCF" w:rsidRDefault="000D4FCF" w:rsidP="000D4FCF">
      <w:pPr>
        <w:rPr>
          <w:rFonts w:ascii="Calibri" w:hAnsi="Calibri"/>
          <w:b/>
        </w:rPr>
      </w:pPr>
    </w:p>
    <w:p w:rsidR="00AC3E60" w:rsidRP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Course of study: 40 hours includes 8 hours of class room theory and 32 hours of clinical practice. There are assigned readings, a research assignment and an exam.  Following registration, the teacher will contact you to arrange workshop dates and times.</w:t>
      </w:r>
    </w:p>
    <w:p w:rsidR="000D4FCF" w:rsidRDefault="000D4FCF" w:rsidP="000D4FCF">
      <w:pPr>
        <w:rPr>
          <w:sz w:val="22"/>
        </w:rPr>
      </w:pPr>
    </w:p>
    <w:p w:rsidR="00AC3E60" w:rsidRDefault="00AC3E60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AC3E60" w:rsidRPr="000D4FCF" w:rsidRDefault="00AC3E60">
      <w:pPr>
        <w:rPr>
          <w:rFonts w:ascii="Calibri" w:hAnsi="Calibri"/>
        </w:rPr>
      </w:pPr>
      <w:r w:rsidRPr="000D4FCF">
        <w:rPr>
          <w:rFonts w:ascii="Calibri" w:hAnsi="Calibri"/>
        </w:rPr>
        <w:t xml:space="preserve">The course content </w:t>
      </w:r>
      <w:r w:rsidRPr="000D4FCF">
        <w:rPr>
          <w:rFonts w:ascii="Calibri" w:hAnsi="Calibri"/>
          <w:b/>
          <w:bCs/>
          <w:u w:val="single"/>
        </w:rPr>
        <w:t xml:space="preserve">may </w:t>
      </w:r>
      <w:r w:rsidRPr="000D4FCF">
        <w:rPr>
          <w:rFonts w:ascii="Calibri" w:hAnsi="Calibri"/>
        </w:rPr>
        <w:t>be presented through a blend of instructional methods, including lecture, Internet, discussion, independent study, audio/video conferencing and videotape.</w:t>
      </w:r>
    </w:p>
    <w:p w:rsidR="00AC3E60" w:rsidRPr="000D4FCF" w:rsidRDefault="00AC3E60">
      <w:pPr>
        <w:rPr>
          <w:rFonts w:ascii="Calibri" w:hAnsi="Calibri"/>
        </w:rPr>
      </w:pPr>
    </w:p>
    <w:p w:rsidR="00AC3E60" w:rsidRDefault="00AC3E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RATIONALE:</w:t>
      </w:r>
    </w:p>
    <w:p w:rsidR="00AC3E60" w:rsidRPr="000D4FCF" w:rsidRDefault="00AC3E60">
      <w:pPr>
        <w:rPr>
          <w:rFonts w:ascii="Calibri" w:hAnsi="Calibri"/>
        </w:rPr>
      </w:pPr>
      <w:r w:rsidRPr="000D4FCF">
        <w:rPr>
          <w:rFonts w:ascii="Calibri" w:hAnsi="Calibri"/>
        </w:rPr>
        <w:t xml:space="preserve">Opportunities for additional knowledge and the practical application of concepts and skills of basic </w:t>
      </w:r>
      <w:r w:rsidR="00B6051F" w:rsidRPr="000D4FCF">
        <w:rPr>
          <w:rFonts w:ascii="Calibri" w:hAnsi="Calibri"/>
        </w:rPr>
        <w:t>footcare in</w:t>
      </w:r>
      <w:r w:rsidRPr="000D4FCF">
        <w:rPr>
          <w:rFonts w:ascii="Calibri" w:hAnsi="Calibri"/>
        </w:rPr>
        <w:t xml:space="preserve"> a simulated and actual client setting is essential preparation for the RN and RPN to function within the scope of practice as defined in the Regulated Health Professions Act.</w:t>
      </w:r>
    </w:p>
    <w:p w:rsidR="00AC3E60" w:rsidRDefault="00AC3E60">
      <w:pPr>
        <w:rPr>
          <w:sz w:val="22"/>
        </w:rPr>
      </w:pPr>
    </w:p>
    <w:p w:rsidR="00AC3E60" w:rsidRDefault="00AC3E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LEARNING OBJECTIVES/OUTCOMES: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"/>
        <w:gridCol w:w="7614"/>
      </w:tblGrid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1.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Assessment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 xml:space="preserve">Potential Elements of the Performance: </w:t>
            </w:r>
            <w:r w:rsidRPr="000D4FCF">
              <w:rPr>
                <w:rFonts w:ascii="Calibri" w:hAnsi="Calibri"/>
              </w:rPr>
              <w:t>assess the foot with complications and deviations from the norm and establish and set appropriate foot care goals for /with individuals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2.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Ram’s Horn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>Potential Elements of the Performance</w:t>
            </w:r>
            <w:r w:rsidRPr="000D4FCF">
              <w:rPr>
                <w:rFonts w:ascii="Calibri" w:hAnsi="Calibri"/>
              </w:rPr>
              <w:t>: describe and demonstrate the correct management of a Ram’s Horn nail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3.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Ingrown Nail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>Potential Elements of the Performance</w:t>
            </w:r>
            <w:r w:rsidRPr="000D4FCF">
              <w:rPr>
                <w:rFonts w:ascii="Calibri" w:hAnsi="Calibri"/>
              </w:rPr>
              <w:t>: describe and demonstrate the reduction and packing of an ingrown nail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4.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of Corrective Products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>Potential Elements of the Performance</w:t>
            </w:r>
            <w:r w:rsidRPr="000D4FCF">
              <w:rPr>
                <w:rFonts w:ascii="Calibri" w:hAnsi="Calibri"/>
              </w:rPr>
              <w:t>: describe and demonstrate the application of corrective products for the temporary relief of conditions such as overlapping digits, inter-digital corns, hallux valgus, warts and calluses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5.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of Dremel Drill and Diamond Burrs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>Potential Elements of the Performance</w:t>
            </w:r>
            <w:r w:rsidRPr="000D4FCF">
              <w:rPr>
                <w:rFonts w:ascii="Calibri" w:hAnsi="Calibri"/>
              </w:rPr>
              <w:t>: describe and demonstrate the non-invasive use of the dremel drill and a variety of diamond burrs including: pear, bud, small olive, short and umbrella in the management of soft tissue pathologies and on nails that deviate from the norm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6.</w:t>
            </w: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of Credo Callus Cutter</w:t>
            </w:r>
          </w:p>
        </w:tc>
      </w:tr>
      <w:tr w:rsidR="000D4FCF" w:rsidRPr="000D4FCF" w:rsidTr="000D4FCF">
        <w:tc>
          <w:tcPr>
            <w:tcW w:w="459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  <w:tc>
          <w:tcPr>
            <w:tcW w:w="7614" w:type="dxa"/>
          </w:tcPr>
          <w:p w:rsidR="000D4FCF" w:rsidRPr="000D4FCF" w:rsidRDefault="000D4FCF" w:rsidP="004617C6">
            <w:pPr>
              <w:rPr>
                <w:rFonts w:ascii="Calibri" w:hAnsi="Calibri"/>
              </w:rPr>
            </w:pPr>
            <w:r w:rsidRPr="000D4FCF">
              <w:rPr>
                <w:rFonts w:ascii="Calibri" w:hAnsi="Calibri"/>
                <w:u w:val="single"/>
              </w:rPr>
              <w:t>Potential Elements of the Performance</w:t>
            </w:r>
            <w:r w:rsidRPr="000D4FCF">
              <w:rPr>
                <w:rFonts w:ascii="Calibri" w:hAnsi="Calibri"/>
              </w:rPr>
              <w:t>:  describe and demonstrate the non-invasive use of a credo callus cutter for conditions which include warts, calluses and corns:</w:t>
            </w:r>
          </w:p>
          <w:p w:rsidR="000D4FCF" w:rsidRPr="000D4FCF" w:rsidRDefault="000D4FCF" w:rsidP="000D4FCF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Demonstrate an understanding of an in-depth assessment for the purpose of corrective health education and the development of a Nursing Care Plan</w:t>
            </w:r>
          </w:p>
          <w:p w:rsidR="000D4FCF" w:rsidRPr="000D4FCF" w:rsidRDefault="000D4FCF" w:rsidP="000D4FCF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Recognize and work within the scope of nursing practice as set by the College of Nurses of Ontario</w:t>
            </w:r>
          </w:p>
          <w:p w:rsidR="000D4FCF" w:rsidRPr="000D4FCF" w:rsidRDefault="000D4FCF" w:rsidP="000D4FCF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Provide first aid management/care for injuries to the foot/feet</w:t>
            </w:r>
          </w:p>
          <w:p w:rsidR="000D4FCF" w:rsidRPr="000D4FCF" w:rsidRDefault="000D4FCF" w:rsidP="000D4FCF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0D4FCF">
              <w:rPr>
                <w:rFonts w:ascii="Calibri" w:hAnsi="Calibri"/>
              </w:rPr>
              <w:t>Provide health teaching to the client regarding advanced foot care, treatment of existing conditions and  prevention of complications</w:t>
            </w:r>
          </w:p>
          <w:p w:rsidR="000D4FCF" w:rsidRPr="000D4FCF" w:rsidRDefault="000D4FCF" w:rsidP="004617C6">
            <w:pPr>
              <w:rPr>
                <w:rFonts w:ascii="Calibri" w:hAnsi="Calibri"/>
              </w:rPr>
            </w:pPr>
          </w:p>
          <w:p w:rsidR="000D4FCF" w:rsidRPr="000D4FCF" w:rsidRDefault="000D4FCF" w:rsidP="004617C6">
            <w:pPr>
              <w:rPr>
                <w:rFonts w:ascii="Calibri" w:hAnsi="Calibri"/>
              </w:rPr>
            </w:pPr>
          </w:p>
        </w:tc>
      </w:tr>
    </w:tbl>
    <w:p w:rsidR="00AC3E60" w:rsidRPr="000D4FCF" w:rsidRDefault="00AC3E60" w:rsidP="000D4FCF">
      <w:pPr>
        <w:ind w:left="480"/>
        <w:rPr>
          <w:rFonts w:ascii="Calibri" w:hAnsi="Calibri" w:cs="Arial"/>
          <w:sz w:val="22"/>
        </w:rPr>
      </w:pPr>
    </w:p>
    <w:p w:rsidR="00AC3E60" w:rsidRDefault="00AC3E60">
      <w:pPr>
        <w:rPr>
          <w:rFonts w:cs="Arial"/>
          <w:sz w:val="22"/>
        </w:rPr>
      </w:pPr>
    </w:p>
    <w:p w:rsidR="00AC3E60" w:rsidRDefault="00AC3E60">
      <w:pPr>
        <w:pStyle w:val="coHeading"/>
        <w:rPr>
          <w:sz w:val="22"/>
          <w:u w:val="single"/>
        </w:rPr>
      </w:pPr>
      <w:r>
        <w:rPr>
          <w:sz w:val="22"/>
          <w:u w:val="single"/>
        </w:rPr>
        <w:t xml:space="preserve">TOPICS 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Anatomy and physiology of the feet and lower legs, review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Disease processes and conditions affecting the foot: arthritis, diabetes, peripheral vascular disease and others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Soft tissue pathology review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Nail pathology and deviations from the norm review and continuation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Basic principles and applications of pre-fab paddings for temporary correction/relief of advanced foot problems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Principles of using a dremel drill and appropriate burrs for non-invasive advanced foot care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Principles of using s credo callus cutter in advanced foot care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Lab practice</w:t>
      </w:r>
    </w:p>
    <w:p w:rsidR="000D4FCF" w:rsidRPr="000D4FCF" w:rsidRDefault="000D4FCF" w:rsidP="000D4FCF">
      <w:pPr>
        <w:numPr>
          <w:ilvl w:val="0"/>
          <w:numId w:val="5"/>
        </w:numPr>
        <w:ind w:left="360"/>
        <w:rPr>
          <w:rFonts w:ascii="Calibri" w:hAnsi="Calibri"/>
          <w:b/>
        </w:rPr>
      </w:pPr>
      <w:r w:rsidRPr="000D4FCF">
        <w:rPr>
          <w:rFonts w:ascii="Calibri" w:hAnsi="Calibri"/>
        </w:rPr>
        <w:t>Clinical practice</w:t>
      </w:r>
    </w:p>
    <w:p w:rsidR="00AC3E60" w:rsidRDefault="00AC3E60">
      <w:pPr>
        <w:rPr>
          <w:sz w:val="22"/>
        </w:rPr>
      </w:pPr>
    </w:p>
    <w:p w:rsidR="00AC3E60" w:rsidRDefault="00AC3E60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  <w:r>
        <w:rPr>
          <w:b w:val="0"/>
          <w:sz w:val="22"/>
        </w:rPr>
        <w:t>(to be purchased by the learner)</w:t>
      </w:r>
    </w:p>
    <w:p w:rsidR="000D4FCF" w:rsidRPr="000D4FCF" w:rsidRDefault="000D4FCF" w:rsidP="000D4FCF">
      <w:pPr>
        <w:rPr>
          <w:rFonts w:ascii="Calibri" w:hAnsi="Calibri"/>
        </w:rPr>
      </w:pPr>
      <w:r>
        <w:rPr>
          <w:rFonts w:ascii="Calibri" w:hAnsi="Calibri"/>
        </w:rPr>
        <w:t>Lazenby, C</w:t>
      </w:r>
      <w:r w:rsidRPr="000D4FCF">
        <w:rPr>
          <w:rFonts w:ascii="Calibri" w:hAnsi="Calibri"/>
        </w:rPr>
        <w:t>indy (2008). Nursing foot care Management Manual: Basic, Advanced &amp; Diabetic</w:t>
      </w:r>
    </w:p>
    <w:p w:rsidR="000D4FCF" w:rsidRPr="000D4FCF" w:rsidRDefault="000D4FCF" w:rsidP="000D4FCF">
      <w:pPr>
        <w:rPr>
          <w:rFonts w:ascii="Calibri" w:hAnsi="Calibri"/>
        </w:rPr>
      </w:pPr>
    </w:p>
    <w:p w:rsidR="000D4FCF" w:rsidRP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Hand Outs: work sheets, reading assignments – supplied by the instructor)</w:t>
      </w:r>
    </w:p>
    <w:p w:rsidR="000D4FCF" w:rsidRPr="000D4FCF" w:rsidRDefault="000D4FCF" w:rsidP="000D4FCF">
      <w:pPr>
        <w:rPr>
          <w:rFonts w:ascii="Calibri" w:hAnsi="Calibri"/>
        </w:rPr>
      </w:pPr>
    </w:p>
    <w:p w:rsidR="000D4FCF" w:rsidRP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CNO Practice Standard:</w:t>
      </w:r>
      <w:r>
        <w:rPr>
          <w:rFonts w:ascii="Calibri" w:hAnsi="Calibri"/>
        </w:rPr>
        <w:t xml:space="preserve"> </w:t>
      </w:r>
      <w:r w:rsidRPr="000D4FCF">
        <w:rPr>
          <w:rFonts w:ascii="Calibri" w:hAnsi="Calibri"/>
        </w:rPr>
        <w:t>Infection Prevention and Control and Documentation. Download from:</w:t>
      </w:r>
    </w:p>
    <w:p w:rsid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http.//www.cno.org/docs/prac/41002/41001documentation.pdf</w:t>
      </w:r>
    </w:p>
    <w:p w:rsidR="00AC3E60" w:rsidRPr="000D4FCF" w:rsidRDefault="00AC3E60" w:rsidP="000D4FCF">
      <w:pPr>
        <w:rPr>
          <w:rFonts w:ascii="Calibri" w:hAnsi="Calibri"/>
        </w:rPr>
      </w:pPr>
      <w:r w:rsidRPr="000D4FCF">
        <w:rPr>
          <w:b/>
          <w:sz w:val="22"/>
          <w:u w:val="single"/>
        </w:rPr>
        <w:lastRenderedPageBreak/>
        <w:t>STUDENT EVALUATION</w:t>
      </w:r>
      <w:r w:rsidR="000D4FCF">
        <w:rPr>
          <w:sz w:val="22"/>
        </w:rPr>
        <w:t>:</w:t>
      </w:r>
    </w:p>
    <w:p w:rsidR="000D4FCF" w:rsidRP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Evaluation of learning is guided by the learning outcomes and arrived at conjointly through student/teacher interactions.</w:t>
      </w:r>
    </w:p>
    <w:p w:rsidR="000D4FCF" w:rsidRPr="000D4FCF" w:rsidRDefault="000D4FCF" w:rsidP="000D4FCF">
      <w:pPr>
        <w:rPr>
          <w:rFonts w:ascii="Calibri" w:hAnsi="Calibri"/>
        </w:rPr>
      </w:pPr>
      <w:r w:rsidRPr="000D4FCF">
        <w:rPr>
          <w:rFonts w:ascii="Calibri" w:hAnsi="Calibri"/>
        </w:rPr>
        <w:t>Students will:</w:t>
      </w:r>
    </w:p>
    <w:p w:rsidR="000D4FCF" w:rsidRPr="000D4FCF" w:rsidRDefault="000D4FCF" w:rsidP="000D4FCF">
      <w:pPr>
        <w:numPr>
          <w:ilvl w:val="0"/>
          <w:numId w:val="6"/>
        </w:numPr>
        <w:rPr>
          <w:rFonts w:ascii="Calibri" w:hAnsi="Calibri"/>
        </w:rPr>
      </w:pPr>
      <w:r w:rsidRPr="000D4FCF">
        <w:rPr>
          <w:rFonts w:ascii="Calibri" w:hAnsi="Calibri"/>
        </w:rPr>
        <w:t>Successfully complete a take home exam and achieve a mark of 80%</w:t>
      </w:r>
    </w:p>
    <w:p w:rsidR="000D4FCF" w:rsidRPr="000D4FCF" w:rsidRDefault="000D4FCF" w:rsidP="000D4FCF">
      <w:pPr>
        <w:numPr>
          <w:ilvl w:val="0"/>
          <w:numId w:val="6"/>
        </w:numPr>
        <w:rPr>
          <w:rFonts w:ascii="Calibri" w:hAnsi="Calibri"/>
        </w:rPr>
      </w:pPr>
      <w:r w:rsidRPr="000D4FCF">
        <w:rPr>
          <w:rFonts w:ascii="Calibri" w:hAnsi="Calibri"/>
        </w:rPr>
        <w:t>Demonstrate proficiency of skill at the advanced level in lab and clinical applications</w:t>
      </w:r>
    </w:p>
    <w:p w:rsidR="000D4FCF" w:rsidRPr="000D4FCF" w:rsidRDefault="000D4FCF" w:rsidP="000D4FCF">
      <w:pPr>
        <w:numPr>
          <w:ilvl w:val="0"/>
          <w:numId w:val="6"/>
        </w:numPr>
        <w:rPr>
          <w:rFonts w:ascii="Calibri" w:hAnsi="Calibri"/>
        </w:rPr>
      </w:pPr>
      <w:r w:rsidRPr="000D4FCF">
        <w:rPr>
          <w:rFonts w:ascii="Calibri" w:hAnsi="Calibri"/>
        </w:rPr>
        <w:t>Meet the requirement for mandatory attendance  (40 hours)</w:t>
      </w:r>
    </w:p>
    <w:p w:rsidR="000D4FCF" w:rsidRPr="000D4FCF" w:rsidRDefault="000D4FCF" w:rsidP="000D4FCF">
      <w:pPr>
        <w:rPr>
          <w:rFonts w:ascii="Calibri" w:hAnsi="Calibri"/>
        </w:rPr>
      </w:pPr>
    </w:p>
    <w:p w:rsidR="004544B1" w:rsidRPr="007A2104" w:rsidRDefault="004544B1" w:rsidP="004544B1">
      <w:pPr>
        <w:rPr>
          <w:rFonts w:ascii="Calibri" w:hAnsi="Calibri"/>
        </w:rPr>
      </w:pPr>
      <w:r w:rsidRPr="007A2104">
        <w:rPr>
          <w:rFonts w:ascii="Calibri" w:hAnsi="Calibri"/>
        </w:rPr>
        <w:t>At the end of the course the student will receive a final report noting his/her progress in relation to the learning outcomes. Upon completion of all course requirements the student will rece</w:t>
      </w:r>
      <w:r w:rsidR="00AA034B">
        <w:rPr>
          <w:rFonts w:ascii="Calibri" w:hAnsi="Calibri"/>
        </w:rPr>
        <w:t>ive a certificate of completion.</w:t>
      </w:r>
    </w:p>
    <w:p w:rsidR="004544B1" w:rsidRDefault="004544B1" w:rsidP="004544B1"/>
    <w:p w:rsidR="004544B1" w:rsidRPr="007A2104" w:rsidRDefault="004544B1" w:rsidP="004544B1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At the end of the semester, the student can access their final grade on their student portal at my.saultcollege.ca. The student’s progress will be recorded using the following grades.</w:t>
      </w:r>
    </w:p>
    <w:p w:rsidR="004544B1" w:rsidRPr="007A2104" w:rsidRDefault="004544B1" w:rsidP="004544B1">
      <w:pPr>
        <w:widowControl w:val="0"/>
        <w:rPr>
          <w:rFonts w:ascii="Calibri" w:hAnsi="Calibri"/>
        </w:rPr>
      </w:pPr>
    </w:p>
    <w:p w:rsidR="004544B1" w:rsidRPr="007A2104" w:rsidRDefault="004544B1" w:rsidP="004544B1">
      <w:pPr>
        <w:widowControl w:val="0"/>
        <w:rPr>
          <w:rFonts w:ascii="Calibri" w:hAnsi="Calibri" w:cs="Arial"/>
        </w:rPr>
      </w:pPr>
      <w:r w:rsidRPr="007A2104">
        <w:rPr>
          <w:rFonts w:ascii="Calibri" w:hAnsi="Calibri"/>
          <w:b/>
          <w:bCs/>
        </w:rPr>
        <w:t>S</w:t>
      </w:r>
      <w:r w:rsidRPr="007A2104">
        <w:rPr>
          <w:rFonts w:ascii="Calibri" w:hAnsi="Calibri"/>
        </w:rPr>
        <w:t xml:space="preserve"> - </w:t>
      </w:r>
      <w:r w:rsidRPr="007A2104">
        <w:rPr>
          <w:rFonts w:ascii="Calibri" w:hAnsi="Calibri" w:cs="Arial"/>
        </w:rPr>
        <w:t>Satisfactory achievement in field /clinical placement or non-graded subject area.</w:t>
      </w:r>
    </w:p>
    <w:p w:rsidR="004544B1" w:rsidRPr="007A2104" w:rsidRDefault="004544B1" w:rsidP="004544B1">
      <w:pPr>
        <w:widowControl w:val="0"/>
        <w:rPr>
          <w:rFonts w:ascii="Calibri" w:hAnsi="Calibri" w:cs="Arial"/>
        </w:rPr>
      </w:pPr>
    </w:p>
    <w:p w:rsidR="004544B1" w:rsidRPr="007A2104" w:rsidRDefault="004544B1" w:rsidP="004544B1">
      <w:pPr>
        <w:widowControl w:val="0"/>
        <w:rPr>
          <w:rFonts w:ascii="Calibri" w:hAnsi="Calibri" w:cs="Arial"/>
        </w:rPr>
      </w:pPr>
      <w:r w:rsidRPr="007A2104">
        <w:rPr>
          <w:rFonts w:ascii="Calibri" w:hAnsi="Calibri" w:cs="Arial"/>
          <w:b/>
          <w:bCs/>
        </w:rPr>
        <w:t xml:space="preserve">U </w:t>
      </w:r>
      <w:r w:rsidRPr="007A2104">
        <w:rPr>
          <w:rFonts w:ascii="Calibri" w:hAnsi="Calibri" w:cs="Arial"/>
        </w:rPr>
        <w:t>- Unsatisfactory achievement in field/clinical placement or non-graded subject area</w:t>
      </w:r>
    </w:p>
    <w:p w:rsidR="004544B1" w:rsidRPr="007A2104" w:rsidRDefault="004544B1" w:rsidP="004544B1">
      <w:pPr>
        <w:widowControl w:val="0"/>
        <w:rPr>
          <w:rFonts w:ascii="Calibri" w:hAnsi="Calibri" w:cs="Arial"/>
        </w:rPr>
      </w:pPr>
    </w:p>
    <w:p w:rsidR="00AC3E60" w:rsidRDefault="00AC3E60">
      <w:pPr>
        <w:pStyle w:val="coBody"/>
        <w:rPr>
          <w:sz w:val="22"/>
        </w:rPr>
      </w:pPr>
    </w:p>
    <w:p w:rsidR="00AC3E60" w:rsidRDefault="00AC3E60">
      <w:pPr>
        <w:pStyle w:val="coBody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934"/>
      </w:tblGrid>
      <w:tr w:rsidR="00AC3E60" w:rsidTr="004544B1">
        <w:trPr>
          <w:trHeight w:val="207"/>
        </w:trPr>
        <w:tc>
          <w:tcPr>
            <w:tcW w:w="2340" w:type="dxa"/>
          </w:tcPr>
          <w:p w:rsidR="00AC3E60" w:rsidRDefault="00AC3E60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934" w:type="dxa"/>
          </w:tcPr>
          <w:p w:rsidR="00AC3E60" w:rsidRPr="004544B1" w:rsidRDefault="00AC3E60">
            <w:pPr>
              <w:widowControl w:val="0"/>
              <w:rPr>
                <w:rFonts w:ascii="Calibri" w:hAnsi="Calibri"/>
              </w:rPr>
            </w:pPr>
            <w:r w:rsidRPr="004544B1">
              <w:rPr>
                <w:rFonts w:ascii="Calibri" w:hAnsi="Calibri"/>
              </w:rPr>
              <w:t>Juanita Wood Arbus</w:t>
            </w:r>
          </w:p>
          <w:p w:rsidR="004544B1" w:rsidRDefault="004544B1">
            <w:pPr>
              <w:widowControl w:val="0"/>
              <w:rPr>
                <w:sz w:val="22"/>
              </w:rPr>
            </w:pPr>
            <w:r w:rsidRPr="004544B1">
              <w:rPr>
                <w:rFonts w:ascii="Calibri" w:hAnsi="Calibri"/>
              </w:rPr>
              <w:t>Monique Lafreniere</w:t>
            </w:r>
          </w:p>
        </w:tc>
      </w:tr>
      <w:tr w:rsidR="00AC3E60" w:rsidTr="004544B1">
        <w:tc>
          <w:tcPr>
            <w:tcW w:w="2340" w:type="dxa"/>
          </w:tcPr>
          <w:p w:rsidR="00AC3E60" w:rsidRDefault="00AC3E60">
            <w:pPr>
              <w:pStyle w:val="coHeading"/>
              <w:rPr>
                <w:sz w:val="22"/>
              </w:rPr>
            </w:pPr>
          </w:p>
        </w:tc>
        <w:tc>
          <w:tcPr>
            <w:tcW w:w="2934" w:type="dxa"/>
          </w:tcPr>
          <w:p w:rsidR="00AC3E60" w:rsidRDefault="00AC3E60">
            <w:pPr>
              <w:pStyle w:val="coBody"/>
              <w:rPr>
                <w:sz w:val="22"/>
              </w:rPr>
            </w:pPr>
          </w:p>
        </w:tc>
      </w:tr>
      <w:tr w:rsidR="00AC3E60" w:rsidTr="004544B1">
        <w:tc>
          <w:tcPr>
            <w:tcW w:w="2340" w:type="dxa"/>
          </w:tcPr>
          <w:p w:rsidR="00AC3E60" w:rsidRDefault="00AC3E60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934" w:type="dxa"/>
            <w:vAlign w:val="bottom"/>
          </w:tcPr>
          <w:p w:rsidR="00AC3E60" w:rsidRDefault="004544B1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AC3E60" w:rsidRDefault="00AC3E60">
      <w:pPr>
        <w:pStyle w:val="coBody"/>
        <w:rPr>
          <w:sz w:val="22"/>
        </w:rPr>
      </w:pPr>
    </w:p>
    <w:p w:rsidR="00AC3E60" w:rsidRDefault="00AC3E60">
      <w:pPr>
        <w:widowControl w:val="0"/>
        <w:rPr>
          <w:sz w:val="22"/>
        </w:rPr>
      </w:pPr>
    </w:p>
    <w:tbl>
      <w:tblPr>
        <w:tblpPr w:leftFromText="180" w:rightFromText="180" w:vertAnchor="text" w:horzAnchor="margin" w:tblpX="108" w:tblpY="977"/>
        <w:tblW w:w="9900" w:type="dxa"/>
        <w:tblLayout w:type="fixed"/>
        <w:tblLook w:val="0000" w:firstRow="0" w:lastRow="0" w:firstColumn="0" w:lastColumn="0" w:noHBand="0" w:noVBand="0"/>
      </w:tblPr>
      <w:tblGrid>
        <w:gridCol w:w="2862"/>
        <w:gridCol w:w="7038"/>
      </w:tblGrid>
      <w:tr w:rsidR="00AC3E60" w:rsidTr="004544B1">
        <w:trPr>
          <w:cantSplit/>
        </w:trPr>
        <w:tc>
          <w:tcPr>
            <w:tcW w:w="2862" w:type="dxa"/>
          </w:tcPr>
          <w:p w:rsidR="00AC3E60" w:rsidRDefault="00AC3E60" w:rsidP="004544B1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NOTICE TO ALL STUDENTS:</w:t>
            </w:r>
          </w:p>
        </w:tc>
        <w:tc>
          <w:tcPr>
            <w:tcW w:w="7038" w:type="dxa"/>
          </w:tcPr>
          <w:p w:rsidR="00AC3E60" w:rsidRDefault="00AC3E60" w:rsidP="004544B1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AC3E60" w:rsidRDefault="00AC3E60" w:rsidP="004544B1">
            <w:pPr>
              <w:pStyle w:val="coBody"/>
              <w:rPr>
                <w:sz w:val="22"/>
              </w:rPr>
            </w:pPr>
          </w:p>
        </w:tc>
      </w:tr>
    </w:tbl>
    <w:p w:rsidR="00AC3E60" w:rsidRDefault="00AC3E60">
      <w:pPr>
        <w:widowControl w:val="0"/>
        <w:rPr>
          <w:sz w:val="22"/>
        </w:rPr>
      </w:pPr>
    </w:p>
    <w:sectPr w:rsidR="00AC3E60">
      <w:headerReference w:type="even" r:id="rId9"/>
      <w:headerReference w:type="default" r:id="rId10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0D" w:rsidRDefault="00EF400D">
      <w:r>
        <w:separator/>
      </w:r>
    </w:p>
  </w:endnote>
  <w:endnote w:type="continuationSeparator" w:id="0">
    <w:p w:rsidR="00EF400D" w:rsidRDefault="00EF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0D" w:rsidRDefault="00EF400D">
      <w:r>
        <w:separator/>
      </w:r>
    </w:p>
  </w:footnote>
  <w:footnote w:type="continuationSeparator" w:id="0">
    <w:p w:rsidR="00EF400D" w:rsidRDefault="00EF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1F" w:rsidRDefault="00B605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051F" w:rsidRDefault="00B605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1F" w:rsidRDefault="00B605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867">
      <w:rPr>
        <w:rStyle w:val="PageNumber"/>
        <w:noProof/>
      </w:rPr>
      <w:t>1</w:t>
    </w:r>
    <w:r>
      <w:rPr>
        <w:rStyle w:val="PageNumber"/>
      </w:rPr>
      <w:fldChar w:fldCharType="end"/>
    </w:r>
  </w:p>
  <w:p w:rsidR="00B6051F" w:rsidRDefault="00B605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86E"/>
    <w:multiLevelType w:val="hybridMultilevel"/>
    <w:tmpl w:val="7F042D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B63A8"/>
    <w:multiLevelType w:val="hybridMultilevel"/>
    <w:tmpl w:val="F4728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B3773E6"/>
    <w:multiLevelType w:val="hybridMultilevel"/>
    <w:tmpl w:val="FD203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875"/>
    <w:rsid w:val="000D4FCF"/>
    <w:rsid w:val="00196594"/>
    <w:rsid w:val="001A551A"/>
    <w:rsid w:val="00346552"/>
    <w:rsid w:val="003A3EC6"/>
    <w:rsid w:val="004544B1"/>
    <w:rsid w:val="004617C6"/>
    <w:rsid w:val="005F6EFD"/>
    <w:rsid w:val="006C4CBB"/>
    <w:rsid w:val="00A70EA0"/>
    <w:rsid w:val="00AA034B"/>
    <w:rsid w:val="00AC3E60"/>
    <w:rsid w:val="00AD3BE5"/>
    <w:rsid w:val="00B6051F"/>
    <w:rsid w:val="00BF1BEE"/>
    <w:rsid w:val="00C62875"/>
    <w:rsid w:val="00CC428F"/>
    <w:rsid w:val="00D85826"/>
    <w:rsid w:val="00DD2867"/>
    <w:rsid w:val="00EF400D"/>
    <w:rsid w:val="00F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4869F-34D5-4662-A5D7-B94DDD64640A}"/>
</file>

<file path=customXml/itemProps2.xml><?xml version="1.0" encoding="utf-8"?>
<ds:datastoreItem xmlns:ds="http://schemas.openxmlformats.org/officeDocument/2006/customXml" ds:itemID="{04FD0A56-DCE5-4E9B-8FE2-9F9C13B906B2}"/>
</file>

<file path=customXml/itemProps3.xml><?xml version="1.0" encoding="utf-8"?>
<ds:datastoreItem xmlns:ds="http://schemas.openxmlformats.org/officeDocument/2006/customXml" ds:itemID="{C8DA279A-31C0-4FF6-A275-609EB6D81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2012-11-05T15:36:00Z</cp:lastPrinted>
  <dcterms:created xsi:type="dcterms:W3CDTF">2010-09-21T14:08:00Z</dcterms:created>
  <dcterms:modified xsi:type="dcterms:W3CDTF">2012-11-05T15:36:00Z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9574000</vt:r8>
  </property>
</Properties>
</file>